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5671" w:tblpY="0"/>
        <w:tblW w:w="109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2693"/>
        <w:gridCol w:w="2835"/>
        <w:gridCol w:w="2850"/>
        <w:tblGridChange w:id="0">
          <w:tblGrid>
            <w:gridCol w:w="2547"/>
            <w:gridCol w:w="2693"/>
            <w:gridCol w:w="2835"/>
            <w:gridCol w:w="285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Changes within Living Memory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Events beyond Living Memory</w:t>
            </w:r>
          </w:p>
        </w:tc>
        <w:tc>
          <w:tcPr>
            <w:shd w:fill="f4cccc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Significant Individual from the Past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Historical Events, People &amp; Places in their Locality</w:t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YR1 CURRICULUM OVERVIEW 2024 – 2025 </w:t>
      </w:r>
    </w:p>
    <w:tbl>
      <w:tblPr>
        <w:tblStyle w:val="Table2"/>
        <w:tblW w:w="16018.0" w:type="dxa"/>
        <w:jc w:val="left"/>
        <w:tblInd w:w="-30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2528"/>
        <w:gridCol w:w="2528"/>
        <w:gridCol w:w="2599"/>
        <w:gridCol w:w="2457"/>
        <w:gridCol w:w="2528"/>
        <w:gridCol w:w="2528"/>
        <w:tblGridChange w:id="0">
          <w:tblGrid>
            <w:gridCol w:w="850"/>
            <w:gridCol w:w="2528"/>
            <w:gridCol w:w="2528"/>
            <w:gridCol w:w="2599"/>
            <w:gridCol w:w="2457"/>
            <w:gridCol w:w="2528"/>
            <w:gridCol w:w="25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44546a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YR1</w:t>
            </w:r>
          </w:p>
        </w:tc>
        <w:tc>
          <w:tcPr>
            <w:tcBorders>
              <w:top w:color="000000" w:space="0" w:sz="18" w:val="single"/>
              <w:left w:color="44546a" w:space="0" w:sz="18" w:val="single"/>
              <w:bottom w:color="000000" w:space="0" w:sz="18" w:val="single"/>
              <w:right w:color="000000" w:space="0" w:sz="18" w:val="single"/>
            </w:tcBorders>
            <w:shd w:fill="deebf6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Autumn 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7cbac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Autumn 2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d965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Spring 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8d08d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Spring 2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9c9c9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Summer 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9cc3e5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Summer 2</w:t>
            </w:r>
          </w:p>
        </w:tc>
      </w:tr>
      <w:tr>
        <w:trPr>
          <w:cantSplit w:val="1"/>
          <w:trHeight w:val="1385" w:hRule="atLeast"/>
          <w:tblHeader w:val="0"/>
        </w:trPr>
        <w:tc>
          <w:tcPr>
            <w:tcBorders>
              <w:left w:color="44546a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ind w:left="113" w:right="113" w:firstLine="0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Content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4"/>
                <w:szCs w:val="24"/>
                <w:rtl w:val="0"/>
              </w:rPr>
              <w:t xml:space="preserve">British History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4"/>
                <w:szCs w:val="24"/>
                <w:shd w:fill="c5e0b3" w:val="clear"/>
                <w:rtl w:val="0"/>
              </w:rPr>
              <w:t xml:space="preserve">Changes within Living Memory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  <w:rtl w:val="0"/>
              </w:rPr>
              <w:t xml:space="preserve">All about me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4"/>
                <w:szCs w:val="24"/>
                <w:rtl w:val="0"/>
              </w:rPr>
              <w:t xml:space="preserve">British History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4"/>
                <w:szCs w:val="24"/>
                <w:shd w:fill="bdd7ee" w:val="clear"/>
                <w:rtl w:val="0"/>
              </w:rPr>
              <w:t xml:space="preserve">Events beyond Living Memory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  <w:rtl w:val="0"/>
              </w:rPr>
              <w:t xml:space="preserve">Gunpowder Plot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0000"/>
                <w:sz w:val="24"/>
                <w:szCs w:val="24"/>
                <w:rtl w:val="0"/>
              </w:rPr>
              <w:t xml:space="preserve">British History &amp; The Wider World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4"/>
                <w:szCs w:val="24"/>
                <w:shd w:fill="ffcccc" w:val="clear"/>
                <w:rtl w:val="0"/>
              </w:rPr>
              <w:t xml:space="preserve">Heroes from the Past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  <w:highlight w:val="white"/>
                <w:rtl w:val="0"/>
              </w:rPr>
              <w:t xml:space="preserve">Grace Darling &amp; Rosa Parks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12" w:hRule="atLeast"/>
          <w:tblHeader w:val="0"/>
        </w:trPr>
        <w:tc>
          <w:tcPr>
            <w:tcBorders>
              <w:left w:color="44546a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right="113" w:firstLine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  <w:rtl w:val="0"/>
              </w:rPr>
              <w:t xml:space="preserve">Key new knowledge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numPr>
                <w:ilvl w:val="0"/>
                <w:numId w:val="9"/>
              </w:numPr>
              <w:ind w:left="319" w:hanging="284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hd w:fill="fff2cc" w:val="clear"/>
                <w:rtl w:val="0"/>
              </w:rPr>
              <w:t xml:space="preserve">Understand significant historical events, people, and places in their own locality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9"/>
              </w:numPr>
              <w:ind w:left="319" w:hanging="284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hd w:fill="c5e0b3" w:val="clear"/>
                <w:rtl w:val="0"/>
              </w:rPr>
              <w:t xml:space="preserve">Understand changes within living memory.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720" w:firstLine="0"/>
              <w:rPr>
                <w:rFonts w:ascii="Century Gothic" w:cs="Century Gothic" w:eastAsia="Century Gothic" w:hAnsi="Century Gothic"/>
                <w:shd w:fill="c5e0b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Chronological understanding of changes within living memory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ind w:left="319" w:hanging="319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Talk about the lives of people around them and their roles in society.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ind w:left="319" w:hanging="319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Understand the past, within living memory, through settings, characters and events encountered in books read in class and storytelling.</w:t>
            </w:r>
          </w:p>
          <w:p w:rsidR="00000000" w:rsidDel="00000000" w:rsidP="00000000" w:rsidRDefault="00000000" w:rsidRPr="00000000" w14:paraId="00000023">
            <w:pPr>
              <w:ind w:left="319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65" w:firstLine="0"/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Knowledge and understanding of events, people, and changes in the past, within living memory.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19" w:hanging="284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Begin to make sense of their own life story and family history.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19" w:firstLine="0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Historical Enquiry into events within living memory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19" w:hanging="319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Know some similarities and differences between things in th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past and now, drawing on their own experiences and what has been read in class.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line="259" w:lineRule="auto"/>
              <w:ind w:left="225" w:hanging="225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hd w:fill="bdd7ee" w:val="clear"/>
                <w:rtl w:val="0"/>
              </w:rPr>
              <w:t xml:space="preserve">Understand events beyond living memory that are significant nationally or globally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B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Chronological Understanding of events, beyond living memory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ind w:left="319" w:hanging="319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Place known events and objects related to the Gunpowder plot in chronological order.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ind w:left="319" w:hanging="319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Sequence events and recount changes beyond living memory of the Gunpowder plot.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ind w:left="319" w:hanging="319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Use common words and phrases relating to the passing of time e.g. First, Next, Then</w:t>
            </w:r>
          </w:p>
          <w:p w:rsidR="00000000" w:rsidDel="00000000" w:rsidP="00000000" w:rsidRDefault="00000000" w:rsidRPr="00000000" w14:paraId="00000030">
            <w:pPr>
              <w:ind w:left="65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65" w:firstLine="0"/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Knowledge and understanding of events, people, and changes, beyond living memory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19" w:hanging="284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Recall some facts about people/events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during the Gunpowder plot.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19" w:hanging="284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Describe some simple similarities and differences between artefacts related to the Gunpowder plot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ind w:left="273" w:hanging="273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hd w:fill="ffcccc" w:val="clear"/>
                <w:rtl w:val="0"/>
              </w:rPr>
              <w:t xml:space="preserve">Understand the lives of significant individuals in the past who have contributed to national and international achievements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36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bookmarkStart w:colFirst="0" w:colLast="0" w:name="_heading=h.pk847dvo3j7f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bookmarkStart w:colFirst="0" w:colLast="0" w:name="_heading=h.sh9anes4xi21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Chronological Understanding of the lives of significant individuals from the past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ind w:left="283.4645669291342" w:hanging="283.464566929134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Place known events and objects related to the lives of Grace Darling and Rosa Parks, in chronological order.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3"/>
              </w:numPr>
              <w:ind w:left="283.4645669291342" w:hanging="283.464566929134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Sequence events and recount changes between the lives of Grace Darling and Rosa Parks.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ind w:left="283.4645669291342" w:hanging="283.464566929134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Use common words and phrases relating to the passing of time e.g. First, Next, Then</w:t>
            </w:r>
          </w:p>
          <w:p w:rsidR="00000000" w:rsidDel="00000000" w:rsidP="00000000" w:rsidRDefault="00000000" w:rsidRPr="00000000" w14:paraId="0000003B">
            <w:pPr>
              <w:ind w:left="65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65" w:firstLine="0"/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Knowledge and understanding of events, people, and changes in the lives of significant individuals from the past.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19" w:hanging="284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Recall some facts about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Grace Darling and Rosa Parks and events that happened to them.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6018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5103"/>
        <w:gridCol w:w="4962"/>
        <w:gridCol w:w="5103"/>
        <w:tblGridChange w:id="0">
          <w:tblGrid>
            <w:gridCol w:w="850"/>
            <w:gridCol w:w="5103"/>
            <w:gridCol w:w="4962"/>
            <w:gridCol w:w="5103"/>
          </w:tblGrid>
        </w:tblGridChange>
      </w:tblGrid>
      <w:tr>
        <w:trPr>
          <w:cantSplit w:val="1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ind w:left="113" w:right="113" w:firstLine="0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  <w:rtl w:val="0"/>
              </w:rPr>
              <w:t xml:space="preserve">Key new knowledge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Historical Interpretation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7"/>
              </w:numPr>
              <w:spacing w:line="276" w:lineRule="auto"/>
              <w:ind w:left="319" w:hanging="284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Compare and contrast characters from stories, including figures from the past, within living memory.</w:t>
            </w:r>
          </w:p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Organisation and communication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19" w:hanging="284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Comment on images of familiar situations in the pas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t, within living memory.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left="319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Historical Enquiry into events beyond living memory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2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Find answers to some simple questions about the period of the Gunpowder plot from simple sources of information.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3"/>
              </w:numPr>
              <w:ind w:left="319" w:hanging="319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Sort artefacts from 'then' and 'now’.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3"/>
              </w:numPr>
              <w:ind w:left="319" w:hanging="319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Ask and answer questions related to different sources and objects about the Gunpowder plot.</w:t>
            </w:r>
          </w:p>
          <w:p w:rsidR="00000000" w:rsidDel="00000000" w:rsidP="00000000" w:rsidRDefault="00000000" w:rsidRPr="00000000" w14:paraId="0000004B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Historical Interpretation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7"/>
              </w:numPr>
              <w:spacing w:line="276" w:lineRule="auto"/>
              <w:ind w:left="319" w:hanging="284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Look at books, videos, photographs, pictures, and artefacts to find out about the Gunpowder plot.</w:t>
            </w:r>
          </w:p>
          <w:p w:rsidR="00000000" w:rsidDel="00000000" w:rsidP="00000000" w:rsidRDefault="00000000" w:rsidRPr="00000000" w14:paraId="0000004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Organisation and communication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8"/>
              </w:numPr>
              <w:ind w:left="319" w:hanging="2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Use simple ways of recording their learning about the Gunpowder plot e.g. labelling pictures or photographs, simple writing tasks.</w:t>
            </w:r>
          </w:p>
          <w:p w:rsidR="00000000" w:rsidDel="00000000" w:rsidP="00000000" w:rsidRDefault="00000000" w:rsidRPr="00000000" w14:paraId="00000051">
            <w:pPr>
              <w:ind w:left="319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Describe some similarities and differences between the lives of Grace Darling and Rosa Park.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Historical Enquiry into the lives of significant individuals from the past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Find answers to some simple questions about Grace Darling and Rosa Parks from simple sources of information.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3"/>
              </w:numPr>
              <w:ind w:left="319" w:hanging="319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Sort artefacts from 'then' and 'now’.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3"/>
              </w:numPr>
              <w:ind w:left="319" w:hanging="319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Ask and answer questions related to different sources and objects about Grace Darling and Rosa Parks.</w:t>
            </w:r>
          </w:p>
          <w:p w:rsidR="00000000" w:rsidDel="00000000" w:rsidP="00000000" w:rsidRDefault="00000000" w:rsidRPr="00000000" w14:paraId="00000058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Historical Interpretation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7"/>
              </w:numPr>
              <w:spacing w:line="276" w:lineRule="auto"/>
              <w:ind w:left="319" w:hanging="284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Look at books, videos, photographs, pictures, and artefacts to find out about Grace Darling and Rosa Parks.</w:t>
            </w:r>
          </w:p>
          <w:p w:rsidR="00000000" w:rsidDel="00000000" w:rsidP="00000000" w:rsidRDefault="00000000" w:rsidRPr="00000000" w14:paraId="0000005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Organisation and communication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8"/>
              </w:numPr>
              <w:ind w:left="319" w:hanging="2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Use simple ways of recording their learning about Grace Darling and Rosa Parks e.g. labelling pictures or photographs, simple writing tasks.</w:t>
            </w:r>
          </w:p>
          <w:p w:rsidR="00000000" w:rsidDel="00000000" w:rsidP="00000000" w:rsidRDefault="00000000" w:rsidRPr="00000000" w14:paraId="0000005E">
            <w:pPr>
              <w:ind w:left="72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ind w:left="113" w:right="113" w:firstLine="0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highlight w:val="cyan"/>
                <w:rtl w:val="0"/>
              </w:rPr>
              <w:t xml:space="preserve">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Retrieval tasks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Pop quizzes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Peer and Self-assessment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Work in books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Discussion &amp; questioning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Retrieval tasks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Pop quizzes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Peer and Self-assessment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Work in books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Discussion &amp; questioning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Retrieval tasks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Pop quizzes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Peer and Self-assessment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Work in books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Discussion &amp; questioning </w:t>
            </w:r>
          </w:p>
        </w:tc>
      </w:tr>
    </w:tbl>
    <w:p w:rsidR="00000000" w:rsidDel="00000000" w:rsidP="00000000" w:rsidRDefault="00000000" w:rsidRPr="00000000" w14:paraId="0000006F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B77E3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 w:val="1"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A70F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A70F4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736388"/>
    <w:pPr>
      <w:spacing w:after="160" w:line="259" w:lineRule="auto"/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4543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THBLH3TKcabLqjRlba6OlLyxWw==">CgMxLjAyDmgucGs4NDdkdm8zajdmMg5oLnNoOWFuZXM0eGkyMTgAciExUE01M3lGZ0xUWWo1MHhLaXhpNU8zVWdyQnV3RWxKcGE=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2024-03-13T23:47:00Z</dcterms:created>
  <dc:creator>D Lancashire</dc:creator>
</cp:coreProperties>
</file>