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A8" w:rsidRPr="00F977A8" w:rsidRDefault="00F977A8" w:rsidP="00A61DDB">
      <w:pPr>
        <w:tabs>
          <w:tab w:val="center" w:pos="4153"/>
          <w:tab w:val="right" w:pos="8306"/>
        </w:tabs>
        <w:jc w:val="center"/>
        <w:rPr>
          <w:rFonts w:ascii="Arial" w:eastAsia="Times New Roman" w:hAnsi="Arial" w:cs="Arial"/>
          <w:b/>
          <w:sz w:val="36"/>
          <w:szCs w:val="36"/>
        </w:rPr>
      </w:pPr>
      <w:r>
        <w:rPr>
          <w:b/>
          <w:bCs/>
          <w:noProof/>
          <w:lang w:eastAsia="en-GB"/>
        </w:rPr>
        <w:drawing>
          <wp:inline distT="0" distB="0" distL="0" distR="0" wp14:anchorId="3ED4CFA6" wp14:editId="052EDEC3">
            <wp:extent cx="9239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inline>
        </w:drawing>
      </w:r>
      <w:bookmarkStart w:id="0" w:name="_GoBack"/>
      <w:bookmarkEnd w:id="0"/>
      <w:r w:rsidRPr="00F977A8">
        <w:rPr>
          <w:rFonts w:ascii="Arial" w:eastAsia="Times New Roman" w:hAnsi="Arial" w:cs="Arial"/>
          <w:b/>
          <w:sz w:val="44"/>
          <w:szCs w:val="44"/>
        </w:rPr>
        <w:t>Newfield School</w:t>
      </w:r>
    </w:p>
    <w:p w:rsidR="00F977A8" w:rsidRPr="00F977A8" w:rsidRDefault="00A61DDB" w:rsidP="00F977A8">
      <w:pPr>
        <w:spacing w:before="120" w:after="0" w:line="360" w:lineRule="auto"/>
        <w:jc w:val="center"/>
        <w:rPr>
          <w:rFonts w:ascii="Century Gothic" w:eastAsia="Times New Roman" w:hAnsi="Century Gothic" w:cs="Arial"/>
          <w:sz w:val="20"/>
          <w:szCs w:val="20"/>
        </w:rPr>
      </w:pPr>
      <w:r>
        <w:rPr>
          <w:rFonts w:ascii="Century Gothic" w:eastAsia="Times New Roman" w:hAnsi="Century Gothic" w:cs="Arial"/>
          <w:noProof/>
          <w:sz w:val="20"/>
          <w:szCs w:val="20"/>
          <w:lang w:eastAsia="en-GB"/>
        </w:rPr>
        <mc:AlternateContent>
          <mc:Choice Requires="wps">
            <w:drawing>
              <wp:anchor distT="0" distB="0" distL="114300" distR="114300" simplePos="0" relativeHeight="251659264" behindDoc="0" locked="0" layoutInCell="1" allowOverlap="1" wp14:anchorId="10F13243" wp14:editId="1021FEAC">
                <wp:simplePos x="0" y="0"/>
                <wp:positionH relativeFrom="column">
                  <wp:posOffset>-495300</wp:posOffset>
                </wp:positionH>
                <wp:positionV relativeFrom="paragraph">
                  <wp:posOffset>260984</wp:posOffset>
                </wp:positionV>
                <wp:extent cx="7486650" cy="45719"/>
                <wp:effectExtent l="19050" t="19050" r="19050"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0" cy="45719"/>
                        </a:xfrm>
                        <a:prstGeom prst="straightConnector1">
                          <a:avLst/>
                        </a:prstGeom>
                        <a:noFill/>
                        <a:ln w="381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8D45D9" id="_x0000_t32" coordsize="21600,21600" o:spt="32" o:oned="t" path="m,l21600,21600e" filled="f">
                <v:path arrowok="t" fillok="f" o:connecttype="none"/>
                <o:lock v:ext="edit" shapetype="t"/>
              </v:shapetype>
              <v:shape id="Straight Arrow Connector 4" o:spid="_x0000_s1026" type="#_x0000_t32" style="position:absolute;margin-left:-39pt;margin-top:20.55pt;width:5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" strokecolor="#2e74b5" strokeweight="3pt">
                <v:shadow color="#1f4d78" opacity=".5" offset="1pt"/>
              </v:shape>
            </w:pict>
          </mc:Fallback>
        </mc:AlternateContent>
      </w:r>
      <w:r w:rsidR="00F977A8" w:rsidRPr="00F977A8">
        <w:rPr>
          <w:rFonts w:ascii="Century Gothic" w:eastAsia="Times New Roman" w:hAnsi="Century Gothic" w:cs="Arial"/>
          <w:sz w:val="20"/>
          <w:szCs w:val="20"/>
        </w:rPr>
        <w:t>Edge Lane, Crosby, Liverpool, L23 4TG.</w:t>
      </w:r>
    </w:p>
    <w:p w:rsidR="00F977A8" w:rsidRDefault="00F977A8" w:rsidP="009232D2">
      <w:pPr>
        <w:rPr>
          <w:b/>
          <w:bCs/>
        </w:rPr>
      </w:pPr>
    </w:p>
    <w:p w:rsidR="009232D2" w:rsidRPr="00A61DDB" w:rsidRDefault="009232D2" w:rsidP="00A61DDB">
      <w:pPr>
        <w:jc w:val="center"/>
        <w:rPr>
          <w:rFonts w:ascii="Century Gothic" w:hAnsi="Century Gothic"/>
        </w:rPr>
      </w:pPr>
      <w:r w:rsidRPr="00A61DDB">
        <w:rPr>
          <w:rFonts w:ascii="Century Gothic" w:hAnsi="Century Gothic"/>
          <w:b/>
          <w:bCs/>
        </w:rPr>
        <w:t>Policy statement on provider access</w:t>
      </w:r>
    </w:p>
    <w:p w:rsidR="00243E83" w:rsidRPr="00A61DDB" w:rsidRDefault="009232D2" w:rsidP="009232D2">
      <w:pPr>
        <w:rPr>
          <w:rFonts w:ascii="Century Gothic" w:hAnsi="Century Gothic"/>
          <w:b/>
          <w:bCs/>
        </w:rPr>
      </w:pPr>
      <w:r w:rsidRPr="00A61DDB">
        <w:rPr>
          <w:rFonts w:ascii="Century Gothic" w:hAnsi="Century Gothic"/>
          <w:b/>
          <w:bCs/>
        </w:rPr>
        <w:t xml:space="preserve">NEWFIELD SEN SCHOOL - Provider Access Policy </w:t>
      </w:r>
    </w:p>
    <w:p w:rsidR="009232D2" w:rsidRPr="00A61DDB" w:rsidRDefault="009232D2" w:rsidP="009232D2">
      <w:pPr>
        <w:rPr>
          <w:rFonts w:ascii="Century Gothic" w:hAnsi="Century Gothic"/>
        </w:rPr>
      </w:pPr>
      <w:r w:rsidRPr="00A61DDB">
        <w:rPr>
          <w:rFonts w:ascii="Century Gothic" w:hAnsi="Century Gothic"/>
          <w:b/>
          <w:bCs/>
        </w:rPr>
        <w:t xml:space="preserve">Introduction </w:t>
      </w:r>
    </w:p>
    <w:p w:rsidR="009232D2" w:rsidRPr="00A61DDB" w:rsidRDefault="009232D2" w:rsidP="009232D2">
      <w:pPr>
        <w:rPr>
          <w:rFonts w:ascii="Century Gothic" w:hAnsi="Century Gothic"/>
        </w:rPr>
      </w:pPr>
      <w:r w:rsidRPr="00A61DDB">
        <w:rPr>
          <w:rFonts w:ascii="Century Gothic" w:hAnsi="Century Gothic"/>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009232D2" w:rsidRPr="00A61DDB" w:rsidRDefault="009232D2" w:rsidP="009232D2">
      <w:pPr>
        <w:rPr>
          <w:rFonts w:ascii="Century Gothic" w:hAnsi="Century Gothic"/>
        </w:rPr>
      </w:pPr>
      <w:r w:rsidRPr="00A61DDB">
        <w:rPr>
          <w:rFonts w:ascii="Century Gothic" w:hAnsi="Century Gothic"/>
          <w:b/>
          <w:bCs/>
        </w:rPr>
        <w:t xml:space="preserve">Pupil entitlement </w:t>
      </w:r>
    </w:p>
    <w:p w:rsidR="009232D2" w:rsidRPr="00A61DDB" w:rsidRDefault="009232D2" w:rsidP="009232D2">
      <w:pPr>
        <w:rPr>
          <w:rFonts w:ascii="Century Gothic" w:hAnsi="Century Gothic"/>
        </w:rPr>
      </w:pPr>
      <w:r w:rsidRPr="00A61DDB">
        <w:rPr>
          <w:rFonts w:ascii="Century Gothic" w:hAnsi="Century Gothic"/>
        </w:rPr>
        <w:t xml:space="preserve">All pupils in years 7-11 are entitled: </w:t>
      </w:r>
    </w:p>
    <w:p w:rsidR="00CD1C66"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find out about technical education qualifications and apprenticeships opportunities, as part of a careers programme which provides information on the full range of education and training options available at each transition point; </w:t>
      </w:r>
    </w:p>
    <w:p w:rsidR="00CD1C66"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hear from a range of local providers about the appropriate opportunities they offer for Newfield pupils, including technical education and apprenticeships – through options events, assemblies and group discussions and taster events; </w:t>
      </w:r>
    </w:p>
    <w:p w:rsidR="009232D2"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understand how to make applications for the full range of academic and technical courses as </w:t>
      </w:r>
      <w:r w:rsidR="00E707E9" w:rsidRPr="00A61DDB">
        <w:rPr>
          <w:rFonts w:ascii="Century Gothic" w:hAnsi="Century Gothic"/>
        </w:rPr>
        <w:t>appropriate</w:t>
      </w:r>
      <w:r w:rsidR="009232D2" w:rsidRPr="00A61DDB">
        <w:rPr>
          <w:rFonts w:ascii="Century Gothic" w:hAnsi="Century Gothic"/>
        </w:rPr>
        <w:t xml:space="preserve"> to their learning need, pathway and destination</w:t>
      </w:r>
      <w:r w:rsidR="00A61DDB">
        <w:rPr>
          <w:rFonts w:ascii="Century Gothic" w:hAnsi="Century Gothic"/>
        </w:rPr>
        <w:t>.</w:t>
      </w:r>
    </w:p>
    <w:p w:rsidR="009232D2" w:rsidRPr="00A61DDB" w:rsidRDefault="009232D2" w:rsidP="009232D2">
      <w:pPr>
        <w:rPr>
          <w:rFonts w:ascii="Century Gothic" w:hAnsi="Century Gothic"/>
        </w:rPr>
      </w:pPr>
      <w:r w:rsidRPr="00A61DDB">
        <w:rPr>
          <w:rFonts w:ascii="Century Gothic" w:hAnsi="Century Gothic"/>
          <w:b/>
          <w:bCs/>
        </w:rPr>
        <w:t xml:space="preserve">Management of provider access requests </w:t>
      </w:r>
    </w:p>
    <w:p w:rsidR="009232D2" w:rsidRPr="00A61DDB" w:rsidRDefault="009232D2" w:rsidP="009232D2">
      <w:pPr>
        <w:rPr>
          <w:rFonts w:ascii="Century Gothic" w:hAnsi="Century Gothic"/>
        </w:rPr>
      </w:pPr>
      <w:r w:rsidRPr="00A61DDB">
        <w:rPr>
          <w:rFonts w:ascii="Century Gothic" w:hAnsi="Century Gothic"/>
          <w:b/>
          <w:bCs/>
        </w:rPr>
        <w:t xml:space="preserve">Procedure </w:t>
      </w:r>
    </w:p>
    <w:p w:rsidR="009232D2" w:rsidRPr="00A61DDB" w:rsidRDefault="009232D2" w:rsidP="009232D2">
      <w:pPr>
        <w:rPr>
          <w:rFonts w:ascii="Century Gothic" w:hAnsi="Century Gothic"/>
        </w:rPr>
      </w:pPr>
      <w:r w:rsidRPr="00A61DDB">
        <w:rPr>
          <w:rFonts w:ascii="Century Gothic" w:hAnsi="Century Gothic"/>
        </w:rPr>
        <w:t>A provider wishing t</w:t>
      </w:r>
      <w:r w:rsidR="00A61DDB">
        <w:rPr>
          <w:rFonts w:ascii="Century Gothic" w:hAnsi="Century Gothic"/>
        </w:rPr>
        <w:t>o request access should contact</w:t>
      </w:r>
      <w:r w:rsidRPr="00A61DDB">
        <w:rPr>
          <w:rFonts w:ascii="Century Gothic" w:hAnsi="Century Gothic"/>
        </w:rPr>
        <w:t xml:space="preserve"> </w:t>
      </w:r>
      <w:r w:rsidR="00A61DDB">
        <w:rPr>
          <w:rFonts w:ascii="Century Gothic" w:hAnsi="Century Gothic"/>
        </w:rPr>
        <w:t xml:space="preserve">the </w:t>
      </w:r>
      <w:r w:rsidRPr="00A61DDB">
        <w:rPr>
          <w:rFonts w:ascii="Century Gothic" w:hAnsi="Century Gothic"/>
        </w:rPr>
        <w:t xml:space="preserve">Head </w:t>
      </w:r>
      <w:r w:rsidR="00A61DDB">
        <w:rPr>
          <w:rFonts w:ascii="Century Gothic" w:hAnsi="Century Gothic"/>
        </w:rPr>
        <w:t>teacher Chris Whelan</w:t>
      </w:r>
      <w:r w:rsidRPr="00A61DDB">
        <w:rPr>
          <w:rFonts w:ascii="Century Gothic" w:hAnsi="Century Gothic"/>
          <w:i/>
          <w:iCs/>
        </w:rPr>
        <w:t xml:space="preserve">, Careers Co-ordinator. </w:t>
      </w:r>
      <w:r w:rsidRPr="00A61DDB">
        <w:rPr>
          <w:rFonts w:ascii="Century Gothic" w:hAnsi="Century Gothic"/>
        </w:rPr>
        <w:t xml:space="preserve"> </w:t>
      </w:r>
    </w:p>
    <w:p w:rsidR="003B14F6" w:rsidRPr="00A61DDB" w:rsidRDefault="009232D2" w:rsidP="009232D2">
      <w:pPr>
        <w:rPr>
          <w:rFonts w:ascii="Century Gothic" w:hAnsi="Century Gothic" w:cs="Arial"/>
          <w:color w:val="555555"/>
          <w:sz w:val="19"/>
          <w:szCs w:val="19"/>
          <w:shd w:val="clear" w:color="auto" w:fill="FFFFFF"/>
        </w:rPr>
      </w:pPr>
      <w:r w:rsidRPr="00A61DDB">
        <w:rPr>
          <w:rFonts w:ascii="Century Gothic" w:hAnsi="Century Gothic"/>
        </w:rPr>
        <w:t xml:space="preserve">Telephone: </w:t>
      </w:r>
      <w:r w:rsidRPr="00A61DDB">
        <w:rPr>
          <w:rFonts w:ascii="Century Gothic" w:hAnsi="Century Gothic"/>
          <w:i/>
          <w:iCs/>
        </w:rPr>
        <w:t xml:space="preserve">0151 934 2991  </w:t>
      </w:r>
      <w:r w:rsidRPr="00A61DDB">
        <w:rPr>
          <w:rFonts w:ascii="Century Gothic" w:hAnsi="Century Gothic"/>
        </w:rPr>
        <w:t xml:space="preserve"> Email:  </w:t>
      </w:r>
      <w:hyperlink r:id="rId6" w:history="1">
        <w:r w:rsidR="00A61DDB" w:rsidRPr="001E534E">
          <w:rPr>
            <w:rStyle w:val="Hyperlink"/>
            <w:rFonts w:ascii="Century Gothic" w:hAnsi="Century Gothic" w:cs="Arial"/>
            <w:sz w:val="19"/>
            <w:szCs w:val="19"/>
            <w:shd w:val="clear" w:color="auto" w:fill="FFFFFF"/>
          </w:rPr>
          <w:t>head.newfield@schools.sefton.gov.uk</w:t>
        </w:r>
      </w:hyperlink>
    </w:p>
    <w:p w:rsidR="009232D2" w:rsidRPr="00A61DDB" w:rsidRDefault="009232D2" w:rsidP="009232D2">
      <w:pPr>
        <w:rPr>
          <w:rFonts w:ascii="Century Gothic" w:hAnsi="Century Gothic"/>
        </w:rPr>
      </w:pPr>
      <w:r w:rsidRPr="00A61DDB">
        <w:rPr>
          <w:rFonts w:ascii="Century Gothic" w:hAnsi="Century Gothic"/>
          <w:b/>
          <w:bCs/>
        </w:rPr>
        <w:lastRenderedPageBreak/>
        <w:t xml:space="preserve">Opportunities for access </w:t>
      </w:r>
    </w:p>
    <w:p w:rsidR="00960F06" w:rsidRPr="00A61DDB" w:rsidRDefault="009232D2" w:rsidP="009232D2">
      <w:pPr>
        <w:rPr>
          <w:rFonts w:ascii="Century Gothic" w:hAnsi="Century Gothic"/>
        </w:rPr>
      </w:pPr>
      <w:r w:rsidRPr="00A61DDB">
        <w:rPr>
          <w:rFonts w:ascii="Century Gothic" w:hAnsi="Century Gothic"/>
        </w:rPr>
        <w:t>A number of events, integrated into the school careers programme, will off</w:t>
      </w:r>
      <w:r w:rsidR="00A61DDB">
        <w:rPr>
          <w:rFonts w:ascii="Century Gothic" w:hAnsi="Century Gothic"/>
        </w:rPr>
        <w:t>er providers an opportunity to c</w:t>
      </w:r>
      <w:r w:rsidRPr="00A61DDB">
        <w:rPr>
          <w:rFonts w:ascii="Century Gothic" w:hAnsi="Century Gothic"/>
        </w:rPr>
        <w:t>ome into school to speak to pupils and/or their parents/carers:</w:t>
      </w:r>
    </w:p>
    <w:tbl>
      <w:tblPr>
        <w:tblStyle w:val="TableGrid"/>
        <w:tblpPr w:leftFromText="180" w:rightFromText="180" w:vertAnchor="text" w:horzAnchor="margin" w:tblpY="453"/>
        <w:tblW w:w="0" w:type="auto"/>
        <w:tblLook w:val="04A0" w:firstRow="1" w:lastRow="0" w:firstColumn="1" w:lastColumn="0" w:noHBand="0" w:noVBand="1"/>
      </w:tblPr>
      <w:tblGrid>
        <w:gridCol w:w="1004"/>
        <w:gridCol w:w="2527"/>
        <w:gridCol w:w="2796"/>
        <w:gridCol w:w="4129"/>
      </w:tblGrid>
      <w:tr w:rsidR="00CC20FC" w:rsidRPr="00A61DDB" w:rsidTr="00A61DDB">
        <w:tc>
          <w:tcPr>
            <w:tcW w:w="1004"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YEAR</w:t>
            </w:r>
          </w:p>
        </w:tc>
        <w:tc>
          <w:tcPr>
            <w:tcW w:w="2552" w:type="dxa"/>
          </w:tcPr>
          <w:p w:rsidR="00CC20FC" w:rsidRPr="00A61DDB" w:rsidRDefault="00CC20FC" w:rsidP="00CC20FC">
            <w:pPr>
              <w:jc w:val="center"/>
              <w:rPr>
                <w:rFonts w:ascii="Century Gothic" w:hAnsi="Century Gothic"/>
                <w:b/>
                <w:sz w:val="32"/>
              </w:rPr>
            </w:pPr>
            <w:proofErr w:type="spellStart"/>
            <w:r w:rsidRPr="00A61DDB">
              <w:rPr>
                <w:rFonts w:ascii="Century Gothic" w:hAnsi="Century Gothic"/>
                <w:b/>
                <w:sz w:val="32"/>
              </w:rPr>
              <w:t>Aut</w:t>
            </w:r>
            <w:proofErr w:type="spellEnd"/>
            <w:r w:rsidRPr="00A61DDB">
              <w:rPr>
                <w:rFonts w:ascii="Century Gothic" w:hAnsi="Century Gothic"/>
                <w:b/>
                <w:sz w:val="32"/>
              </w:rPr>
              <w:t xml:space="preserve"> Term</w:t>
            </w:r>
          </w:p>
        </w:tc>
        <w:tc>
          <w:tcPr>
            <w:tcW w:w="2835"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Spring Term</w:t>
            </w:r>
          </w:p>
        </w:tc>
        <w:tc>
          <w:tcPr>
            <w:tcW w:w="4207"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Summer Term</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7</w:t>
            </w:r>
          </w:p>
        </w:tc>
        <w:tc>
          <w:tcPr>
            <w:tcW w:w="2552" w:type="dxa"/>
          </w:tcPr>
          <w:p w:rsidR="00CC20FC" w:rsidRPr="00A61DDB" w:rsidRDefault="00CC20FC"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Who am I?</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Community Challenge</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 xml:space="preserve">Skilled encounter </w:t>
            </w:r>
          </w:p>
          <w:p w:rsidR="00CD1C66" w:rsidRPr="00A61DDB" w:rsidRDefault="00CD1C66" w:rsidP="00CC20FC">
            <w:pPr>
              <w:rPr>
                <w:rFonts w:ascii="Century Gothic" w:hAnsi="Century Gothic"/>
              </w:rPr>
            </w:pP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8</w:t>
            </w:r>
          </w:p>
        </w:tc>
        <w:tc>
          <w:tcPr>
            <w:tcW w:w="2552" w:type="dxa"/>
          </w:tcPr>
          <w:p w:rsidR="00CC20FC" w:rsidRPr="00A61DDB" w:rsidRDefault="00CC20FC"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Healthy choices</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 xml:space="preserve">Rule Britannia </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Discovering me</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9</w:t>
            </w:r>
          </w:p>
        </w:tc>
        <w:tc>
          <w:tcPr>
            <w:tcW w:w="2552" w:type="dxa"/>
          </w:tcPr>
          <w:p w:rsidR="00E707E9" w:rsidRPr="00A61DDB" w:rsidRDefault="00E707E9"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 xml:space="preserve">Self-development </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Coping with change</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How to plan ahead</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10</w:t>
            </w:r>
          </w:p>
        </w:tc>
        <w:tc>
          <w:tcPr>
            <w:tcW w:w="2552" w:type="dxa"/>
          </w:tcPr>
          <w:p w:rsidR="00E707E9" w:rsidRPr="00A61DDB" w:rsidRDefault="00E707E9" w:rsidP="00CC20FC">
            <w:pPr>
              <w:rPr>
                <w:rFonts w:ascii="Century Gothic" w:hAnsi="Century Gothic"/>
              </w:rPr>
            </w:pPr>
          </w:p>
          <w:p w:rsidR="00CC20FC" w:rsidRPr="00A61DDB" w:rsidRDefault="00E707E9" w:rsidP="00CC20FC">
            <w:pPr>
              <w:rPr>
                <w:rFonts w:ascii="Century Gothic" w:hAnsi="Century Gothic"/>
              </w:rPr>
            </w:pPr>
            <w:r w:rsidRPr="00A61DDB">
              <w:rPr>
                <w:rFonts w:ascii="Century Gothic" w:hAnsi="Century Gothic"/>
              </w:rPr>
              <w:t>Unlocking Potential</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Insight into Industry</w:t>
            </w:r>
          </w:p>
        </w:tc>
        <w:tc>
          <w:tcPr>
            <w:tcW w:w="4207"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College Open events</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11</w:t>
            </w:r>
          </w:p>
        </w:tc>
        <w:tc>
          <w:tcPr>
            <w:tcW w:w="2552" w:type="dxa"/>
          </w:tcPr>
          <w:p w:rsidR="00CC20FC" w:rsidRPr="00A61DDB" w:rsidRDefault="00CC20FC" w:rsidP="00CC20FC">
            <w:pPr>
              <w:rPr>
                <w:rFonts w:ascii="Century Gothic" w:hAnsi="Century Gothic"/>
              </w:rPr>
            </w:pPr>
          </w:p>
          <w:p w:rsidR="00CC20FC" w:rsidRPr="00A61DDB" w:rsidRDefault="00E707E9" w:rsidP="00CC20FC">
            <w:pPr>
              <w:rPr>
                <w:rFonts w:ascii="Century Gothic" w:hAnsi="Century Gothic"/>
              </w:rPr>
            </w:pPr>
            <w:r w:rsidRPr="00A61DDB">
              <w:rPr>
                <w:rFonts w:ascii="Century Gothic" w:hAnsi="Century Gothic"/>
              </w:rPr>
              <w:t>Mock Interviews</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Ready to go</w:t>
            </w:r>
          </w:p>
        </w:tc>
        <w:tc>
          <w:tcPr>
            <w:tcW w:w="4207" w:type="dxa"/>
            <w:shd w:val="clear" w:color="auto" w:fill="808080" w:themeFill="background1" w:themeFillShade="80"/>
          </w:tcPr>
          <w:p w:rsidR="00CC20FC" w:rsidRPr="00A61DDB" w:rsidRDefault="00CC20FC" w:rsidP="00CC20FC">
            <w:pPr>
              <w:rPr>
                <w:rFonts w:ascii="Century Gothic" w:hAnsi="Century Gothic"/>
              </w:rPr>
            </w:pPr>
          </w:p>
        </w:tc>
      </w:tr>
    </w:tbl>
    <w:p w:rsidR="00CC20FC" w:rsidRPr="00A61DDB" w:rsidRDefault="00CC20FC">
      <w:pPr>
        <w:rPr>
          <w:rFonts w:ascii="Century Gothic" w:hAnsi="Century Gothic"/>
        </w:rPr>
      </w:pPr>
    </w:p>
    <w:p w:rsidR="009232D2" w:rsidRPr="00A61DDB" w:rsidRDefault="009232D2" w:rsidP="009232D2">
      <w:pPr>
        <w:rPr>
          <w:rFonts w:ascii="Century Gothic" w:hAnsi="Century Gothic"/>
        </w:rPr>
      </w:pPr>
      <w:r w:rsidRPr="00A61DDB">
        <w:rPr>
          <w:rFonts w:ascii="Century Gothic" w:hAnsi="Century Gothic"/>
        </w:rPr>
        <w:t xml:space="preserve">Please speak to our Careers Leader to identify the most suitable opportunity for you. </w:t>
      </w:r>
    </w:p>
    <w:p w:rsidR="009232D2" w:rsidRPr="00A61DDB" w:rsidRDefault="009232D2" w:rsidP="009232D2">
      <w:pPr>
        <w:rPr>
          <w:rFonts w:ascii="Century Gothic" w:hAnsi="Century Gothic"/>
        </w:rPr>
      </w:pPr>
      <w:r w:rsidRPr="00A61DDB">
        <w:rPr>
          <w:rFonts w:ascii="Century Gothic" w:hAnsi="Century Gothic"/>
          <w:b/>
          <w:bCs/>
        </w:rPr>
        <w:t xml:space="preserve">Premises and facilities </w:t>
      </w:r>
    </w:p>
    <w:p w:rsidR="009232D2" w:rsidRPr="00A61DDB" w:rsidRDefault="009232D2" w:rsidP="009232D2">
      <w:pPr>
        <w:rPr>
          <w:rFonts w:ascii="Century Gothic" w:hAnsi="Century Gothic"/>
        </w:rPr>
      </w:pPr>
      <w:r w:rsidRPr="00A61DDB">
        <w:rPr>
          <w:rFonts w:ascii="Century Gothic" w:hAnsi="Century Gothic"/>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rsidR="009232D2" w:rsidRPr="00A61DDB" w:rsidRDefault="009232D2" w:rsidP="009232D2">
      <w:pPr>
        <w:rPr>
          <w:rFonts w:ascii="Century Gothic" w:hAnsi="Century Gothic"/>
        </w:rPr>
      </w:pPr>
      <w:r w:rsidRPr="00A61DDB">
        <w:rPr>
          <w:rFonts w:ascii="Century Gothic" w:hAnsi="Century Gothic"/>
        </w:rPr>
        <w:t xml:space="preserve">Providers are welcome to leave a copy of their prospectus or other relevant course literature at </w:t>
      </w:r>
      <w:r w:rsidR="00CC20FC" w:rsidRPr="00A61DDB">
        <w:rPr>
          <w:rFonts w:ascii="Century Gothic" w:hAnsi="Century Gothic"/>
        </w:rPr>
        <w:t>Reception</w:t>
      </w:r>
      <w:r w:rsidRPr="00A61DDB">
        <w:rPr>
          <w:rFonts w:ascii="Century Gothic" w:hAnsi="Century Gothic"/>
        </w:rPr>
        <w:t xml:space="preserve">, which is managed by </w:t>
      </w:r>
      <w:r w:rsidR="00CC20FC" w:rsidRPr="00A61DDB">
        <w:rPr>
          <w:rFonts w:ascii="Century Gothic" w:hAnsi="Century Gothic"/>
        </w:rPr>
        <w:t>office staff</w:t>
      </w:r>
      <w:r w:rsidRPr="00A61DDB">
        <w:rPr>
          <w:rFonts w:ascii="Century Gothic" w:hAnsi="Century Gothic"/>
        </w:rPr>
        <w:t xml:space="preserve">. </w:t>
      </w:r>
      <w:r w:rsidR="00CC20FC" w:rsidRPr="00A61DDB">
        <w:rPr>
          <w:rFonts w:ascii="Century Gothic" w:hAnsi="Century Gothic"/>
        </w:rPr>
        <w:t>Careers lead will ensure that all pupils have access to literature as appropriate.</w:t>
      </w:r>
    </w:p>
    <w:p w:rsidR="009232D2" w:rsidRPr="00A61DDB" w:rsidRDefault="009232D2" w:rsidP="009232D2">
      <w:pPr>
        <w:rPr>
          <w:rFonts w:ascii="Century Gothic" w:hAnsi="Century Gothic"/>
        </w:rPr>
      </w:pPr>
      <w:r w:rsidRPr="00A61DDB">
        <w:rPr>
          <w:rFonts w:ascii="Century Gothic" w:hAnsi="Century Gothic"/>
          <w:b/>
          <w:bCs/>
        </w:rPr>
        <w:t xml:space="preserve">Approval and review </w:t>
      </w:r>
    </w:p>
    <w:p w:rsidR="009232D2" w:rsidRPr="00A61DDB" w:rsidRDefault="009232D2" w:rsidP="009232D2">
      <w:pPr>
        <w:rPr>
          <w:rFonts w:ascii="Century Gothic" w:hAnsi="Century Gothic"/>
        </w:rPr>
      </w:pPr>
      <w:r w:rsidRPr="00A61DDB">
        <w:rPr>
          <w:rFonts w:ascii="Century Gothic" w:hAnsi="Century Gothic"/>
        </w:rPr>
        <w:t xml:space="preserve">Next review: </w:t>
      </w:r>
      <w:r w:rsidRPr="00A61DDB">
        <w:rPr>
          <w:rFonts w:ascii="Century Gothic" w:hAnsi="Century Gothic"/>
          <w:i/>
          <w:iCs/>
        </w:rPr>
        <w:t>[</w:t>
      </w:r>
      <w:r w:rsidR="003C788E" w:rsidRPr="00A61DDB">
        <w:rPr>
          <w:rFonts w:ascii="Century Gothic" w:hAnsi="Century Gothic"/>
          <w:i/>
          <w:iCs/>
        </w:rPr>
        <w:t>Autumn</w:t>
      </w:r>
      <w:r w:rsidR="00A61DDB">
        <w:rPr>
          <w:rFonts w:ascii="Century Gothic" w:hAnsi="Century Gothic"/>
          <w:i/>
          <w:iCs/>
        </w:rPr>
        <w:t xml:space="preserve"> Term 2023</w:t>
      </w:r>
      <w:r w:rsidRPr="00A61DDB">
        <w:rPr>
          <w:rFonts w:ascii="Century Gothic" w:hAnsi="Century Gothic"/>
          <w:i/>
          <w:iCs/>
        </w:rPr>
        <w:t xml:space="preserve">] </w:t>
      </w:r>
    </w:p>
    <w:p w:rsidR="009232D2" w:rsidRPr="00A61DDB" w:rsidRDefault="009232D2" w:rsidP="009232D2">
      <w:pPr>
        <w:rPr>
          <w:rFonts w:ascii="Century Gothic" w:hAnsi="Century Gothic"/>
        </w:rPr>
      </w:pPr>
      <w:r w:rsidRPr="00A61DDB">
        <w:rPr>
          <w:rFonts w:ascii="Century Gothic" w:hAnsi="Century Gothic"/>
        </w:rPr>
        <w:t>Signed:</w:t>
      </w:r>
      <w:r w:rsidR="00CC20FC" w:rsidRPr="00A61DDB">
        <w:rPr>
          <w:rFonts w:ascii="Century Gothic" w:hAnsi="Century Gothic"/>
          <w:i/>
          <w:iCs/>
        </w:rPr>
        <w:t xml:space="preserve"> [ </w:t>
      </w:r>
      <w:r w:rsidR="003C788E" w:rsidRPr="00A61DDB">
        <w:rPr>
          <w:rFonts w:ascii="Century Gothic" w:hAnsi="Century Gothic"/>
          <w:i/>
          <w:iCs/>
        </w:rPr>
        <w:t xml:space="preserve">Mr Martin </w:t>
      </w:r>
      <w:proofErr w:type="spellStart"/>
      <w:proofErr w:type="gramStart"/>
      <w:r w:rsidR="003C788E" w:rsidRPr="00A61DDB">
        <w:rPr>
          <w:rFonts w:ascii="Century Gothic" w:hAnsi="Century Gothic"/>
          <w:i/>
          <w:iCs/>
        </w:rPr>
        <w:t>Fol</w:t>
      </w:r>
      <w:proofErr w:type="spellEnd"/>
      <w:r w:rsidR="00CC20FC" w:rsidRPr="00A61DDB">
        <w:rPr>
          <w:rFonts w:ascii="Century Gothic" w:hAnsi="Century Gothic"/>
          <w:i/>
          <w:iCs/>
        </w:rPr>
        <w:t xml:space="preserve"> </w:t>
      </w:r>
      <w:r w:rsidRPr="00A61DDB">
        <w:rPr>
          <w:rFonts w:ascii="Century Gothic" w:hAnsi="Century Gothic"/>
          <w:i/>
          <w:iCs/>
        </w:rPr>
        <w:t>]</w:t>
      </w:r>
      <w:proofErr w:type="gramEnd"/>
      <w:r w:rsidRPr="00A61DDB">
        <w:rPr>
          <w:rFonts w:ascii="Century Gothic" w:hAnsi="Century Gothic"/>
          <w:i/>
          <w:iCs/>
        </w:rPr>
        <w:t xml:space="preserve"> </w:t>
      </w:r>
      <w:r w:rsidRPr="00A61DDB">
        <w:rPr>
          <w:rFonts w:ascii="Century Gothic" w:hAnsi="Century Gothic"/>
        </w:rPr>
        <w:t>Chair of Governors</w:t>
      </w:r>
      <w:r w:rsidR="00CC20FC" w:rsidRPr="00A61DDB">
        <w:rPr>
          <w:rFonts w:ascii="Century Gothic" w:hAnsi="Century Gothic"/>
        </w:rPr>
        <w:t xml:space="preserve">         </w:t>
      </w:r>
      <w:r w:rsidRPr="00A61DDB">
        <w:rPr>
          <w:rFonts w:ascii="Century Gothic" w:hAnsi="Century Gothic"/>
        </w:rPr>
        <w:t xml:space="preserve"> </w:t>
      </w:r>
      <w:r w:rsidRPr="00A61DDB">
        <w:rPr>
          <w:rFonts w:ascii="Century Gothic" w:hAnsi="Century Gothic"/>
          <w:i/>
          <w:iCs/>
        </w:rPr>
        <w:t>[</w:t>
      </w:r>
      <w:r w:rsidR="00CC20FC" w:rsidRPr="00A61DDB">
        <w:rPr>
          <w:rFonts w:ascii="Century Gothic" w:hAnsi="Century Gothic"/>
          <w:i/>
          <w:iCs/>
        </w:rPr>
        <w:t xml:space="preserve"> Mr C Whelan </w:t>
      </w:r>
      <w:r w:rsidRPr="00A61DDB">
        <w:rPr>
          <w:rFonts w:ascii="Century Gothic" w:hAnsi="Century Gothic"/>
          <w:i/>
          <w:iCs/>
        </w:rPr>
        <w:t xml:space="preserve">] </w:t>
      </w:r>
      <w:r w:rsidRPr="00A61DDB">
        <w:rPr>
          <w:rFonts w:ascii="Century Gothic" w:hAnsi="Century Gothic"/>
        </w:rPr>
        <w:t>Head teacher</w:t>
      </w:r>
      <w:r w:rsidR="00CC20FC" w:rsidRPr="00A61DDB">
        <w:rPr>
          <w:rFonts w:ascii="Century Gothic" w:hAnsi="Century Gothic"/>
        </w:rPr>
        <w:t xml:space="preserve"> </w:t>
      </w:r>
    </w:p>
    <w:sectPr w:rsidR="009232D2" w:rsidRPr="00A61DDB" w:rsidSect="00A61D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6E3"/>
    <w:multiLevelType w:val="hybridMultilevel"/>
    <w:tmpl w:val="A418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12784"/>
    <w:multiLevelType w:val="hybridMultilevel"/>
    <w:tmpl w:val="30A695C4"/>
    <w:lvl w:ilvl="0" w:tplc="74B82C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D2"/>
    <w:rsid w:val="00243E83"/>
    <w:rsid w:val="002E5785"/>
    <w:rsid w:val="003B14F6"/>
    <w:rsid w:val="003C788E"/>
    <w:rsid w:val="0045667A"/>
    <w:rsid w:val="006B20D4"/>
    <w:rsid w:val="009232D2"/>
    <w:rsid w:val="00960F06"/>
    <w:rsid w:val="00A35C9C"/>
    <w:rsid w:val="00A61DDB"/>
    <w:rsid w:val="00B379ED"/>
    <w:rsid w:val="00CC20FC"/>
    <w:rsid w:val="00CD1C66"/>
    <w:rsid w:val="00E707E9"/>
    <w:rsid w:val="00F9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7383"/>
  <w15:docId w15:val="{B72AEE81-7848-4E6B-A3E9-E2C35519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2D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32D2"/>
    <w:rPr>
      <w:color w:val="0000FF" w:themeColor="hyperlink"/>
      <w:u w:val="single"/>
    </w:rPr>
  </w:style>
  <w:style w:type="paragraph" w:styleId="BalloonText">
    <w:name w:val="Balloon Text"/>
    <w:basedOn w:val="Normal"/>
    <w:link w:val="BalloonTextChar"/>
    <w:uiPriority w:val="99"/>
    <w:semiHidden/>
    <w:unhideWhenUsed/>
    <w:rsid w:val="003B1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F6"/>
    <w:rPr>
      <w:rFonts w:ascii="Tahoma" w:hAnsi="Tahoma" w:cs="Tahoma"/>
      <w:sz w:val="16"/>
      <w:szCs w:val="16"/>
    </w:rPr>
  </w:style>
  <w:style w:type="table" w:styleId="TableGrid">
    <w:name w:val="Table Grid"/>
    <w:basedOn w:val="TableNormal"/>
    <w:uiPriority w:val="59"/>
    <w:rsid w:val="00CC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newfield@schools.sefton.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Suzanne Furlong</cp:lastModifiedBy>
  <cp:revision>2</cp:revision>
  <dcterms:created xsi:type="dcterms:W3CDTF">2022-10-19T10:05:00Z</dcterms:created>
  <dcterms:modified xsi:type="dcterms:W3CDTF">2022-10-19T10:05:00Z</dcterms:modified>
</cp:coreProperties>
</file>